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Cs w:val="28"/>
        </w:rPr>
        <w:t xml:space="preserve">Савеловский </w:t>
      </w:r>
      <w:r>
        <w:rPr>
          <w:b/>
          <w:bCs/>
          <w:szCs w:val="28"/>
        </w:rPr>
        <w:t xml:space="preserve">межрайонный прокурор г. Москвы разъясняет</w:t>
      </w:r>
      <w:r>
        <w:rPr>
          <w:b/>
          <w:bCs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58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Советом директоров Банка России принято решение о запрете комиссии за переводы через СБП</w:t>
      </w:r>
      <w:r>
        <w:rPr>
          <w:rStyle w:val="657"/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56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С 1 ноября</w:t>
      </w:r>
      <w:r>
        <w:rPr>
          <w:rStyle w:val="657"/>
          <w:rFonts w:ascii="Times New Roman" w:hAnsi="Times New Roman"/>
          <w:sz w:val="28"/>
          <w:szCs w:val="28"/>
        </w:rPr>
        <w:t xml:space="preserve"> 2024 года </w:t>
      </w:r>
      <w:r>
        <w:rPr>
          <w:rStyle w:val="657"/>
          <w:rFonts w:ascii="Times New Roman" w:hAnsi="Times New Roman"/>
          <w:sz w:val="28"/>
          <w:szCs w:val="28"/>
        </w:rPr>
        <w:t xml:space="preserve">банкам запрещено брать комиссию за перевод средств на единый казначейский счет через СБП. К таким платежам относятся уплата налогов, штрафов, платежи за посещение детских садов, кружков и т</w:t>
      </w:r>
      <w:r>
        <w:rPr>
          <w:rStyle w:val="657"/>
          <w:rFonts w:ascii="Times New Roman" w:hAnsi="Times New Roman"/>
          <w:sz w:val="28"/>
          <w:szCs w:val="28"/>
        </w:rPr>
        <w:t xml:space="preserve">ак далее.</w:t>
      </w:r>
      <w:r>
        <w:rPr>
          <w:rStyle w:val="657"/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656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Также с 1 ноября</w:t>
      </w:r>
      <w:r>
        <w:rPr>
          <w:rStyle w:val="657"/>
          <w:rFonts w:ascii="Times New Roman" w:hAnsi="Times New Roman"/>
          <w:sz w:val="28"/>
          <w:szCs w:val="28"/>
        </w:rPr>
        <w:t xml:space="preserve"> 2024 года</w:t>
      </w:r>
      <w:r>
        <w:rPr>
          <w:rStyle w:val="657"/>
          <w:rFonts w:ascii="Times New Roman" w:hAnsi="Times New Roman"/>
          <w:sz w:val="28"/>
          <w:szCs w:val="28"/>
        </w:rPr>
        <w:t xml:space="preserve"> на личные электронные кошельки распространится лимит в размере 100 тысяч рублей на бесплатные переводы по СБП другим физическим лицам.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31"/>
        <w:ind w:firstLine="0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</w:r>
      <w:r>
        <w:rPr>
          <w:szCs w:val="28"/>
        </w:rPr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62" w:default="1">
    <w:name w:val="Default Paragraph Font"/>
    <w:uiPriority w:val="1"/>
    <w:semiHidden/>
    <w:unhideWhenUsed/>
  </w:style>
  <w:style w:type="numbering" w:styleId="763" w:default="1">
    <w:name w:val="No List"/>
    <w:uiPriority w:val="99"/>
    <w:semiHidden/>
    <w:unhideWhenUsed/>
  </w:style>
  <w:style w:type="table" w:styleId="76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2024-10-31T15:51:00Z</dcterms:created>
  <dcterms:modified xsi:type="dcterms:W3CDTF">2024-11-13T11:10:13Z</dcterms:modified>
  <cp:version>1048576</cp:version>
</cp:coreProperties>
</file>