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Конституционный суд Российской Федерации пояснил, что общие сроки давности не применяются к антикоррупционным искам Генерального прокурора и его подчиненных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Трехлетний и десятилетний общие сроки исковой давности не распространяются на требования обратить в доход страны имущество, которое было получено незаконно. 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Также Конституционный суд добавил, что сейчас нет сроков, которые ограничивали бы прокуроров в подаче таких исков. 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Отмечено, что сделанный вывод относится только к исковым заявлениям прокуроров, содержащим требования об обращении в доход РФ коррупционного имущества, и не может быть автоматически распространен на решение </w:t>
      </w:r>
      <w:r>
        <w:rPr>
          <w:rStyle w:val="657"/>
          <w:rFonts w:ascii="Times New Roman" w:hAnsi="Times New Roman"/>
          <w:sz w:val="28"/>
          <w:szCs w:val="28"/>
        </w:rPr>
        <w:t xml:space="preserve">вопроса о применимости или неприменимости исковой давности к иным исковым заявлениям прокуроров, направленным на передачу имущества публично-правовым образованиям или признание их права на имущество, в том числе основанным на нарушении порядка приватизации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6" w:default="1">
    <w:name w:val="Default Paragraph Font"/>
    <w:uiPriority w:val="1"/>
    <w:semiHidden/>
    <w:unhideWhenUsed/>
  </w:style>
  <w:style w:type="numbering" w:styleId="767" w:default="1">
    <w:name w:val="No List"/>
    <w:uiPriority w:val="99"/>
    <w:semiHidden/>
    <w:unhideWhenUsed/>
  </w:style>
  <w:style w:type="table" w:styleId="7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2024-11-07T12:54:00Z</dcterms:created>
  <dcterms:modified xsi:type="dcterms:W3CDTF">2024-11-13T11:21:05Z</dcterms:modified>
  <cp:version>1048576</cp:version>
</cp:coreProperties>
</file>