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Кодекс Российской Федерации об административных правонарушениях.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20 ноября 2024 года административный арест</w:t>
      </w:r>
      <w:r>
        <w:rPr>
          <w:sz w:val="28"/>
          <w:szCs w:val="28"/>
        </w:rPr>
        <w:t xml:space="preserve"> не может применяться к женщинам, имеющим детей-инвалидов либо являющимся их опекунами, усыновителями или попечителями.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он не может применяться к мужчинам, воспитывающим в одиночку детей до 14 лет или детей-инвалидов, либо являющимися опекунами, усыновителями или попечителями таких детей.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7" w:default="1">
    <w:name w:val="Default Paragraph Font"/>
    <w:uiPriority w:val="1"/>
    <w:semiHidden/>
    <w:unhideWhenUsed/>
  </w:style>
  <w:style w:type="numbering" w:styleId="758" w:default="1">
    <w:name w:val="No List"/>
    <w:uiPriority w:val="99"/>
    <w:semiHidden/>
    <w:unhideWhenUsed/>
  </w:style>
  <w:style w:type="table" w:styleId="7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2024-12-13T13:41:00Z</dcterms:created>
  <dcterms:modified xsi:type="dcterms:W3CDTF">2024-12-16T08:55:17Z</dcterms:modified>
  <cp:version>1048576</cp:version>
</cp:coreProperties>
</file>