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1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За использование чужой банковской карты предусмотрена уголовная ответственность.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Хищение денежных средств с банковской карты квалифицируется</w:t>
      </w:r>
      <w:r>
        <w:rPr>
          <w:sz w:val="28"/>
          <w:szCs w:val="28"/>
        </w:rPr>
        <w:t xml:space="preserve"> как преступление, предусмотренное пунктом «г», части 3, статьи 158 Уголовного кодекса РФ.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нак</w:t>
      </w:r>
      <w:r>
        <w:rPr>
          <w:sz w:val="28"/>
          <w:szCs w:val="28"/>
        </w:rPr>
        <w:t xml:space="preserve">азание за такое деяние предусмотрено в виде лишения свободы на срок до 6 лет со штрафом в размере до 80 тысяч рублей или в размере заработной платы или иного дохода осужденного за период до 6 месяцев либо без такового и с ограничением свободы на срок до 1,</w:t>
      </w:r>
      <w:r>
        <w:rPr>
          <w:sz w:val="28"/>
          <w:szCs w:val="28"/>
        </w:rPr>
        <w:t xml:space="preserve">5 лет либо без такового.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6" w:default="1">
    <w:name w:val="Default Paragraph Font"/>
    <w:uiPriority w:val="1"/>
    <w:semiHidden/>
    <w:unhideWhenUsed/>
  </w:style>
  <w:style w:type="numbering" w:styleId="757" w:default="1">
    <w:name w:val="No List"/>
    <w:uiPriority w:val="99"/>
    <w:semiHidden/>
    <w:unhideWhenUsed/>
  </w:style>
  <w:style w:type="table" w:styleId="7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2024-12-13T14:18:00Z</dcterms:created>
  <dcterms:modified xsi:type="dcterms:W3CDTF">2024-12-16T08:47:38Z</dcterms:modified>
  <cp:version>1048576</cp:version>
</cp:coreProperties>
</file>